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C6" w:rsidRPr="007A29BE" w:rsidRDefault="007A29BE" w:rsidP="007A29BE">
      <w:pPr>
        <w:spacing w:after="0" w:line="240" w:lineRule="auto"/>
        <w:rPr>
          <w:b/>
        </w:rPr>
      </w:pPr>
      <w:r w:rsidRPr="007A29BE">
        <w:rPr>
          <w:b/>
        </w:rPr>
        <w:t xml:space="preserve">CDC </w:t>
      </w:r>
      <w:r w:rsidR="007814CC">
        <w:rPr>
          <w:b/>
        </w:rPr>
        <w:t>Heroin Definition v3</w:t>
      </w:r>
    </w:p>
    <w:p w:rsidR="007A29BE" w:rsidRDefault="007A29BE" w:rsidP="007A29BE">
      <w:pPr>
        <w:spacing w:after="0" w:line="240" w:lineRule="auto"/>
      </w:pPr>
    </w:p>
    <w:p w:rsidR="00273C41" w:rsidRPr="00273C41" w:rsidRDefault="007A29BE" w:rsidP="007A29BE">
      <w:pPr>
        <w:spacing w:after="0" w:line="240" w:lineRule="auto"/>
      </w:pPr>
      <w:r w:rsidRPr="00273C41">
        <w:rPr>
          <w:u w:val="single"/>
        </w:rPr>
        <w:t>Purpose</w:t>
      </w:r>
      <w:r w:rsidRPr="00273C41">
        <w:t xml:space="preserve">: States currently funded by CDC’s Enhanced State Opioid Overdose Surveillance (ESOOS) program have been </w:t>
      </w:r>
      <w:r w:rsidR="00273C41" w:rsidRPr="00273C41">
        <w:t xml:space="preserve">asked to </w:t>
      </w:r>
      <w:r w:rsidRPr="00273C41">
        <w:t>monitor opioid overdose trends</w:t>
      </w:r>
      <w:r w:rsidR="007814CC">
        <w:t>, including heroin overdose,</w:t>
      </w:r>
      <w:r w:rsidRPr="00273C41">
        <w:t xml:space="preserve"> in their states. </w:t>
      </w:r>
      <w:r w:rsidR="00273C41" w:rsidRPr="00273C41">
        <w:t xml:space="preserve">In collaboration with our ESOOS partners, CDC staff developed some lessons learned in querying </w:t>
      </w:r>
      <w:r w:rsidR="007814CC">
        <w:t>heroin</w:t>
      </w:r>
      <w:r w:rsidR="00273C41" w:rsidRPr="00273C41">
        <w:t xml:space="preserve"> overdose ED visits in syndromic surveillance systems. Based on this preliminary work, CDC </w:t>
      </w:r>
      <w:r w:rsidR="007814CC">
        <w:t>developed a heroin</w:t>
      </w:r>
      <w:r w:rsidR="00273C41" w:rsidRPr="00273C41">
        <w:t xml:space="preserve"> overdose syndrome definition that captured all of the lessons learned from ESOOS states.</w:t>
      </w:r>
    </w:p>
    <w:p w:rsidR="007A29BE" w:rsidRPr="00273C41" w:rsidRDefault="007A29BE" w:rsidP="007A29BE">
      <w:pPr>
        <w:spacing w:after="0" w:line="240" w:lineRule="auto"/>
      </w:pPr>
    </w:p>
    <w:p w:rsidR="007A29BE" w:rsidRDefault="007A29BE" w:rsidP="007A29BE">
      <w:pPr>
        <w:spacing w:after="0" w:line="240" w:lineRule="auto"/>
      </w:pPr>
      <w:r w:rsidRPr="00273C41">
        <w:rPr>
          <w:u w:val="single"/>
        </w:rPr>
        <w:t>How it was developed</w:t>
      </w:r>
      <w:r w:rsidRPr="00273C41">
        <w:t xml:space="preserve">: CDC scientists first started developing the definition using </w:t>
      </w:r>
      <w:r w:rsidR="00273C41" w:rsidRPr="00273C41">
        <w:t xml:space="preserve">lessons learned from ESOOS states and researching </w:t>
      </w:r>
      <w:r w:rsidRPr="00273C41">
        <w:t>guidance</w:t>
      </w:r>
      <w:r w:rsidR="00273C41" w:rsidRPr="00273C41">
        <w:t xml:space="preserve"> documents</w:t>
      </w:r>
      <w:r w:rsidRPr="00273C41">
        <w:t xml:space="preserve"> from</w:t>
      </w:r>
      <w:r w:rsidR="00273C41" w:rsidRPr="00273C41">
        <w:t xml:space="preserve"> other sources including NCHS,</w:t>
      </w:r>
      <w:r w:rsidRPr="00273C41">
        <w:t xml:space="preserve"> CSTE</w:t>
      </w:r>
      <w:r w:rsidR="00273C41" w:rsidRPr="00273C41">
        <w:t>,</w:t>
      </w:r>
      <w:r w:rsidRPr="00273C41">
        <w:t xml:space="preserve"> and SAMSHA. They then built the query </w:t>
      </w:r>
      <w:r w:rsidR="00273C41" w:rsidRPr="00273C41">
        <w:t>using</w:t>
      </w:r>
      <w:r w:rsidRPr="00273C41">
        <w:t xml:space="preserve"> discharge diagnosis codes</w:t>
      </w:r>
      <w:r w:rsidR="00D25663" w:rsidRPr="00273C41">
        <w:t xml:space="preserve"> and SNOMED</w:t>
      </w:r>
      <w:r w:rsidR="00273C41" w:rsidRPr="00273C41">
        <w:t xml:space="preserve"> codes</w:t>
      </w:r>
      <w:r w:rsidRPr="00273C41">
        <w:t xml:space="preserve"> indicating an acute </w:t>
      </w:r>
      <w:r w:rsidR="007814CC">
        <w:t>heroin</w:t>
      </w:r>
      <w:r w:rsidRPr="00273C41">
        <w:t xml:space="preserve"> poisoning were identified. Next, we used </w:t>
      </w:r>
      <w:r w:rsidR="00273C41" w:rsidRPr="00273C41">
        <w:t>a set of</w:t>
      </w:r>
      <w:r w:rsidRPr="00273C41">
        <w:t xml:space="preserve"> “overdose terms” </w:t>
      </w:r>
      <w:r w:rsidR="00273C41" w:rsidRPr="00273C41">
        <w:t>along with</w:t>
      </w:r>
      <w:r w:rsidRPr="00273C41">
        <w:t xml:space="preserve"> identified</w:t>
      </w:r>
      <w:r w:rsidR="00273C41" w:rsidRPr="00273C41">
        <w:t xml:space="preserve"> “drug terms” indicating that </w:t>
      </w:r>
      <w:r w:rsidR="007814CC">
        <w:t>heroin</w:t>
      </w:r>
      <w:r w:rsidRPr="00273C41">
        <w:t xml:space="preserve"> was involved in the overdose.</w:t>
      </w:r>
    </w:p>
    <w:p w:rsidR="007A29BE" w:rsidRDefault="007A29BE" w:rsidP="007A29BE">
      <w:pPr>
        <w:spacing w:after="0" w:line="240" w:lineRule="auto"/>
      </w:pPr>
    </w:p>
    <w:p w:rsidR="006E49CE" w:rsidRPr="00B47561" w:rsidRDefault="007A29BE" w:rsidP="007A29BE">
      <w:pPr>
        <w:spacing w:after="0" w:line="240" w:lineRule="auto"/>
      </w:pPr>
      <w:r>
        <w:rPr>
          <w:u w:val="single"/>
        </w:rPr>
        <w:t>How it works</w:t>
      </w:r>
      <w:r>
        <w:t xml:space="preserve">: </w:t>
      </w:r>
      <w:r w:rsidR="00914FBD">
        <w:t>W</w:t>
      </w:r>
      <w:r>
        <w:t>e u</w:t>
      </w:r>
      <w:r w:rsidR="0051164A" w:rsidRPr="007A29BE">
        <w:t>se</w:t>
      </w:r>
      <w:r>
        <w:t xml:space="preserve"> both the</w:t>
      </w:r>
      <w:r w:rsidR="0051164A" w:rsidRPr="007A29BE">
        <w:t xml:space="preserve"> discharge diagnosis codes</w:t>
      </w:r>
      <w:r w:rsidR="00D25663">
        <w:t>/SNOMED</w:t>
      </w:r>
      <w:r w:rsidR="0051164A" w:rsidRPr="007A29BE">
        <w:t xml:space="preserve"> and chief complaint free text</w:t>
      </w:r>
      <w:r>
        <w:t xml:space="preserve"> with exclusions (as necessary). </w:t>
      </w:r>
      <w:r w:rsidR="0051164A" w:rsidRPr="007A29BE">
        <w:t>If discharge diagnosis code</w:t>
      </w:r>
      <w:r w:rsidR="00D25663">
        <w:t>/SNOMED</w:t>
      </w:r>
      <w:r>
        <w:t xml:space="preserve"> indicating a</w:t>
      </w:r>
      <w:r w:rsidR="007814CC">
        <w:t xml:space="preserve"> heroin</w:t>
      </w:r>
      <w:r>
        <w:t xml:space="preserve"> poisoning</w:t>
      </w:r>
      <w:r w:rsidR="0051164A" w:rsidRPr="007A29BE">
        <w:t xml:space="preserve"> is present, </w:t>
      </w:r>
      <w:r>
        <w:t xml:space="preserve">the ED </w:t>
      </w:r>
      <w:r w:rsidR="0051164A" w:rsidRPr="007A29BE">
        <w:t>visit is automatically included</w:t>
      </w:r>
      <w:r>
        <w:t xml:space="preserve"> in the syndrome. </w:t>
      </w:r>
      <w:r w:rsidR="0051164A" w:rsidRPr="007A29BE">
        <w:t xml:space="preserve">If </w:t>
      </w:r>
      <w:r>
        <w:t xml:space="preserve">there is </w:t>
      </w:r>
      <w:r w:rsidR="0051164A" w:rsidRPr="007A29BE">
        <w:t>no</w:t>
      </w:r>
      <w:r>
        <w:t xml:space="preserve"> discharge diagnosis code</w:t>
      </w:r>
      <w:r w:rsidR="00D25663">
        <w:t>/SNOMED</w:t>
      </w:r>
      <w:r w:rsidR="0051164A" w:rsidRPr="007A29BE">
        <w:t xml:space="preserve"> present for </w:t>
      </w:r>
      <w:r w:rsidR="007814CC">
        <w:t>heroin</w:t>
      </w:r>
      <w:r>
        <w:t xml:space="preserve"> </w:t>
      </w:r>
      <w:r w:rsidR="0051164A" w:rsidRPr="007A29BE">
        <w:t xml:space="preserve">poisoning, </w:t>
      </w:r>
      <w:r>
        <w:t xml:space="preserve">the </w:t>
      </w:r>
      <w:r w:rsidR="0051164A" w:rsidRPr="007A29BE">
        <w:t>visit</w:t>
      </w:r>
      <w:r>
        <w:t xml:space="preserve"> is</w:t>
      </w:r>
      <w:r w:rsidR="0051164A" w:rsidRPr="007A29BE">
        <w:t xml:space="preserve"> only included if</w:t>
      </w:r>
      <w:r>
        <w:t xml:space="preserve"> the</w:t>
      </w:r>
      <w:r w:rsidR="0051164A" w:rsidRPr="007A29BE">
        <w:t xml:space="preserve"> chief complaint </w:t>
      </w:r>
      <w:r>
        <w:t xml:space="preserve">text </w:t>
      </w:r>
      <w:r w:rsidR="0051164A" w:rsidRPr="007A29BE">
        <w:t>has both</w:t>
      </w:r>
      <w:r>
        <w:t xml:space="preserve"> an “overdose” and “dru</w:t>
      </w:r>
      <w:r w:rsidR="00DA34D3">
        <w:t xml:space="preserve">g” term. In addition, </w:t>
      </w:r>
      <w:r w:rsidR="00DA34D3" w:rsidRPr="00B47561">
        <w:t>the list of exclusions are only applied to the chief complaint text when a discharge</w:t>
      </w:r>
      <w:r w:rsidR="00B47561">
        <w:t xml:space="preserve"> diagnosis code is not present.</w:t>
      </w:r>
    </w:p>
    <w:p w:rsidR="00C36146" w:rsidRPr="00B47561" w:rsidRDefault="00C36146" w:rsidP="007A29BE">
      <w:pPr>
        <w:spacing w:after="0" w:line="240" w:lineRule="auto"/>
      </w:pPr>
    </w:p>
    <w:p w:rsidR="0021415B" w:rsidRPr="00022592" w:rsidRDefault="00C36146" w:rsidP="0021415B">
      <w:pPr>
        <w:spacing w:after="0" w:line="240" w:lineRule="auto"/>
        <w:rPr>
          <w:b/>
        </w:rPr>
      </w:pPr>
      <w:r w:rsidRPr="00B47561">
        <w:rPr>
          <w:u w:val="single"/>
        </w:rPr>
        <w:t>Other things for consideration</w:t>
      </w:r>
      <w:r w:rsidR="001004B1" w:rsidRPr="00B47561">
        <w:t xml:space="preserve">: </w:t>
      </w:r>
      <w:r w:rsidR="0021415B" w:rsidRPr="00250FC3">
        <w:t>Overdoses related to illicitly-made fentanyl may be listed as a heroin overdose in the chief complaint and even diagnosis codes.</w:t>
      </w:r>
      <w:r w:rsidR="0021415B" w:rsidRPr="00250FC3">
        <w:rPr>
          <w:b/>
        </w:rPr>
        <w:t xml:space="preserve"> </w:t>
      </w:r>
      <w:r w:rsidR="0021415B" w:rsidRPr="00022592">
        <w:t>A large increase in heroin overdose ED visits may be attributable to increased supply and use of illicitly-made fentanyl by heroin users. This occurs because illicitly-made fentanyl is commonly mixed with heroin and injected by people who histor</w:t>
      </w:r>
      <w:r w:rsidR="0021415B">
        <w:t xml:space="preserve">ically use heroin. Because fentanyl is commonly not included in emergency department toxicology tests, an ED toxicology test may only detect heroin even though the overdose involved a mixture of heroin and illicitly-made fentanyl. </w:t>
      </w:r>
    </w:p>
    <w:p w:rsidR="0021415B" w:rsidRDefault="0021415B" w:rsidP="007A29BE">
      <w:pPr>
        <w:spacing w:after="0" w:line="240" w:lineRule="auto"/>
      </w:pPr>
    </w:p>
    <w:p w:rsidR="0021415B" w:rsidRDefault="0021415B" w:rsidP="004D39A3">
      <w:pPr>
        <w:spacing w:after="0"/>
        <w:rPr>
          <w:rFonts w:cstheme="minorHAnsi"/>
          <w:b/>
        </w:rPr>
      </w:pPr>
    </w:p>
    <w:p w:rsidR="004D39A3" w:rsidRPr="004D39A3" w:rsidRDefault="004D39A3" w:rsidP="004D39A3">
      <w:pPr>
        <w:spacing w:after="0"/>
        <w:rPr>
          <w:rFonts w:cstheme="minorHAnsi"/>
          <w:b/>
        </w:rPr>
      </w:pPr>
      <w:r w:rsidRPr="004D39A3">
        <w:rPr>
          <w:rFonts w:cstheme="minorHAnsi"/>
          <w:b/>
        </w:rPr>
        <w:t xml:space="preserve">Table 1. Chief complaint and discharge diagnosis search terms for suspected </w:t>
      </w:r>
      <w:r w:rsidR="00B4751B">
        <w:rPr>
          <w:rFonts w:cstheme="minorHAnsi"/>
          <w:b/>
        </w:rPr>
        <w:t>heroin</w:t>
      </w:r>
      <w:r w:rsidRPr="004D39A3">
        <w:rPr>
          <w:rFonts w:cstheme="minorHAnsi"/>
          <w:b/>
        </w:rPr>
        <w:t xml:space="preserve"> overdose</w:t>
      </w:r>
    </w:p>
    <w:tbl>
      <w:tblPr>
        <w:tblW w:w="0" w:type="auto"/>
        <w:tblInd w:w="-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653"/>
        <w:gridCol w:w="3023"/>
        <w:gridCol w:w="4396"/>
      </w:tblGrid>
      <w:tr w:rsidR="006D0633" w:rsidRPr="009648A5" w:rsidTr="00A8093A">
        <w:trPr>
          <w:trHeight w:val="123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Variable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Automatic inclusion?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5DCE4" w:themeFill="text2" w:themeFillTint="33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Specific terms</w:t>
            </w:r>
          </w:p>
        </w:tc>
      </w:tr>
      <w:tr w:rsidR="006D0633" w:rsidRPr="009648A5" w:rsidTr="00A8093A">
        <w:trPr>
          <w:trHeight w:val="24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i/>
                <w:color w:val="000000"/>
                <w:sz w:val="20"/>
                <w:szCs w:val="20"/>
              </w:rPr>
              <w:t>Inclusions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553AF" w:rsidRPr="009648A5" w:rsidTr="00A8093A">
        <w:trPr>
          <w:trHeight w:val="51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Discharge Diagnosis – ICD-9-CM poisoning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9648A5" w:rsidP="006D06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sz w:val="20"/>
                <w:szCs w:val="20"/>
              </w:rPr>
              <w:t xml:space="preserve">965.01, </w:t>
            </w:r>
            <w:r w:rsidR="006D0633">
              <w:rPr>
                <w:rFonts w:cstheme="minorHAnsi"/>
                <w:sz w:val="20"/>
                <w:szCs w:val="20"/>
              </w:rPr>
              <w:t xml:space="preserve">E850.0 </w:t>
            </w:r>
            <w:r w:rsidRPr="009648A5">
              <w:rPr>
                <w:rFonts w:cstheme="minorHAnsi"/>
                <w:sz w:val="20"/>
                <w:szCs w:val="20"/>
              </w:rPr>
              <w:t>(also included terms with no period, e.g., “9650</w:t>
            </w:r>
            <w:r w:rsidR="006D0633">
              <w:rPr>
                <w:rFonts w:cstheme="minorHAnsi"/>
                <w:sz w:val="20"/>
                <w:szCs w:val="20"/>
              </w:rPr>
              <w:t>1</w:t>
            </w:r>
            <w:r w:rsidRPr="009648A5">
              <w:rPr>
                <w:rFonts w:cstheme="minorHAnsi"/>
                <w:sz w:val="20"/>
                <w:szCs w:val="20"/>
              </w:rPr>
              <w:t>”)</w:t>
            </w:r>
          </w:p>
        </w:tc>
      </w:tr>
      <w:tr w:rsidR="00D553AF" w:rsidRPr="009648A5" w:rsidTr="00A8093A">
        <w:trPr>
          <w:trHeight w:val="4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Discharge Diagnosis – ICD-10-CM poisoning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9648A5" w:rsidP="006D063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8A5">
              <w:rPr>
                <w:rFonts w:cstheme="minorHAnsi"/>
                <w:sz w:val="20"/>
                <w:szCs w:val="20"/>
              </w:rPr>
              <w:t xml:space="preserve">T40.1X1A, T40.1X4A </w:t>
            </w:r>
            <w:r w:rsidRPr="009648A5">
              <w:rPr>
                <w:rFonts w:cstheme="minorHAnsi"/>
                <w:color w:val="000000"/>
                <w:sz w:val="20"/>
                <w:szCs w:val="20"/>
              </w:rPr>
              <w:t>(also included terms with no period, e.g., “T401X1A”)</w:t>
            </w:r>
          </w:p>
        </w:tc>
      </w:tr>
      <w:tr w:rsidR="00D553AF" w:rsidRPr="009648A5" w:rsidTr="00A8093A">
        <w:trPr>
          <w:trHeight w:val="44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D25663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 xml:space="preserve">Discharge Diagnosis – </w:t>
            </w:r>
            <w:r w:rsidR="00D25663" w:rsidRPr="009648A5">
              <w:rPr>
                <w:rFonts w:cstheme="minorHAnsi"/>
                <w:bCs/>
                <w:color w:val="000000"/>
                <w:sz w:val="20"/>
                <w:szCs w:val="20"/>
              </w:rPr>
              <w:t>SNOMED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Yes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6D0633" w:rsidRDefault="006D0633" w:rsidP="006D0633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6D0633">
              <w:rPr>
                <w:sz w:val="20"/>
                <w:szCs w:val="20"/>
              </w:rPr>
              <w:t>295174006, 295175007, 295176008</w:t>
            </w:r>
          </w:p>
        </w:tc>
      </w:tr>
      <w:tr w:rsidR="00D553AF" w:rsidRPr="009648A5" w:rsidTr="00A8093A">
        <w:trPr>
          <w:trHeight w:val="62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Chief complaint – overdose term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No, must use in combination with opioid term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553AF" w:rsidRPr="009648A5" w:rsidRDefault="00D553AF" w:rsidP="00D55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Poisoning (poison)</w:t>
            </w:r>
          </w:p>
          <w:p w:rsidR="00D553AF" w:rsidRPr="009648A5" w:rsidRDefault="00D553AF" w:rsidP="00D55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 xml:space="preserve">Overdose (overdose, overdoes, </w:t>
            </w:r>
            <w:proofErr w:type="spellStart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averdose</w:t>
            </w:r>
            <w:proofErr w:type="spellEnd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averdoes</w:t>
            </w:r>
            <w:proofErr w:type="spellEnd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 xml:space="preserve">, over does, </w:t>
            </w:r>
            <w:proofErr w:type="spellStart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overose</w:t>
            </w:r>
            <w:proofErr w:type="spellEnd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)</w:t>
            </w:r>
          </w:p>
          <w:p w:rsidR="00D553AF" w:rsidRPr="009648A5" w:rsidRDefault="00D553AF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Nodding off</w:t>
            </w:r>
          </w:p>
          <w:p w:rsidR="00D553AF" w:rsidRPr="009648A5" w:rsidRDefault="00D553AF" w:rsidP="00D55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Snort</w:t>
            </w:r>
          </w:p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 xml:space="preserve">Ingestion (ingest, </w:t>
            </w:r>
            <w:proofErr w:type="spellStart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injest</w:t>
            </w:r>
            <w:proofErr w:type="spellEnd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)</w:t>
            </w:r>
          </w:p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Intoxication (</w:t>
            </w:r>
            <w:proofErr w:type="spellStart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intoxic</w:t>
            </w:r>
            <w:proofErr w:type="spellEnd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)</w:t>
            </w:r>
          </w:p>
          <w:p w:rsidR="00D553AF" w:rsidRPr="009648A5" w:rsidRDefault="00D553AF" w:rsidP="00D55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Unresponsive (</w:t>
            </w:r>
            <w:proofErr w:type="spellStart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unresponsiv</w:t>
            </w:r>
            <w:proofErr w:type="spellEnd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)</w:t>
            </w:r>
          </w:p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Loss of consciousness (</w:t>
            </w:r>
            <w:proofErr w:type="spellStart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syncopy</w:t>
            </w:r>
            <w:proofErr w:type="spellEnd"/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, syncope)</w:t>
            </w:r>
          </w:p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Shortness of breath (SOB)</w:t>
            </w:r>
          </w:p>
          <w:p w:rsidR="004D39A3" w:rsidRPr="009648A5" w:rsidRDefault="004D39A3" w:rsidP="00D553AF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Altered mental status (AMS)</w:t>
            </w:r>
          </w:p>
        </w:tc>
      </w:tr>
      <w:tr w:rsidR="006D0633" w:rsidRPr="009648A5" w:rsidTr="007304DE">
        <w:trPr>
          <w:trHeight w:val="61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A5" w:rsidRPr="009648A5" w:rsidRDefault="009648A5" w:rsidP="007304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lastRenderedPageBreak/>
              <w:t>Chief complaint – opioid term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A5" w:rsidRPr="009648A5" w:rsidRDefault="009648A5" w:rsidP="007304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color w:val="000000"/>
                <w:sz w:val="20"/>
                <w:szCs w:val="20"/>
              </w:rPr>
              <w:t>No, must use in combination with overdose term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48A5" w:rsidRPr="009648A5" w:rsidRDefault="0051164A" w:rsidP="007304DE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 xml:space="preserve">Heroin, </w:t>
            </w:r>
            <w:proofErr w:type="spellStart"/>
            <w:r>
              <w:rPr>
                <w:rFonts w:cstheme="minorHAnsi"/>
                <w:color w:val="000000"/>
                <w:sz w:val="20"/>
                <w:szCs w:val="20"/>
              </w:rPr>
              <w:t>herion</w:t>
            </w:r>
            <w:proofErr w:type="spellEnd"/>
            <w:r>
              <w:rPr>
                <w:rFonts w:cstheme="minorHAnsi"/>
                <w:color w:val="000000"/>
                <w:sz w:val="20"/>
                <w:szCs w:val="20"/>
              </w:rPr>
              <w:t>, heroine, HOD, speedball, dope</w:t>
            </w:r>
          </w:p>
        </w:tc>
      </w:tr>
      <w:tr w:rsidR="006D0633" w:rsidRPr="009648A5" w:rsidTr="00A8093A">
        <w:trPr>
          <w:trHeight w:val="29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i/>
                <w:color w:val="000000"/>
                <w:sz w:val="20"/>
                <w:szCs w:val="20"/>
              </w:rPr>
              <w:t>Exclusions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553AF" w:rsidRPr="009648A5" w:rsidTr="00A8093A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color w:val="000000"/>
                <w:sz w:val="20"/>
                <w:szCs w:val="20"/>
              </w:rPr>
            </w:pPr>
            <w:r w:rsidRPr="009648A5">
              <w:rPr>
                <w:rFonts w:cstheme="minorHAnsi"/>
                <w:bCs/>
                <w:color w:val="000000"/>
                <w:sz w:val="20"/>
                <w:szCs w:val="20"/>
              </w:rPr>
              <w:t>Chief complaint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4D39A3" w:rsidP="00A8093A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8A5">
              <w:rPr>
                <w:rFonts w:cstheme="minorHAnsi"/>
                <w:sz w:val="20"/>
                <w:szCs w:val="20"/>
              </w:rPr>
              <w:t>Exclude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D39A3" w:rsidRPr="009648A5" w:rsidRDefault="00C36146" w:rsidP="00C361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648A5">
              <w:rPr>
                <w:rFonts w:cstheme="minorHAnsi"/>
                <w:sz w:val="20"/>
                <w:szCs w:val="20"/>
              </w:rPr>
              <w:t xml:space="preserve">See </w:t>
            </w:r>
            <w:r w:rsidR="00D25663" w:rsidRPr="009648A5">
              <w:rPr>
                <w:rFonts w:cstheme="minorHAnsi"/>
                <w:sz w:val="20"/>
                <w:szCs w:val="20"/>
              </w:rPr>
              <w:t xml:space="preserve">list </w:t>
            </w:r>
            <w:r w:rsidRPr="009648A5">
              <w:rPr>
                <w:rFonts w:cstheme="minorHAnsi"/>
                <w:sz w:val="20"/>
                <w:szCs w:val="20"/>
              </w:rPr>
              <w:t>below</w:t>
            </w:r>
            <w:r w:rsidR="006274E0" w:rsidRPr="009648A5">
              <w:rPr>
                <w:rFonts w:cstheme="minorHAnsi"/>
                <w:sz w:val="20"/>
                <w:szCs w:val="20"/>
              </w:rPr>
              <w:t xml:space="preserve"> in ESSENCE code</w:t>
            </w:r>
          </w:p>
        </w:tc>
      </w:tr>
    </w:tbl>
    <w:p w:rsidR="00C36146" w:rsidRDefault="00C36146" w:rsidP="00C36146">
      <w:pPr>
        <w:spacing w:after="0"/>
        <w:rPr>
          <w:rFonts w:cstheme="minorHAnsi"/>
          <w:b/>
        </w:rPr>
      </w:pPr>
    </w:p>
    <w:p w:rsidR="00D553AF" w:rsidRDefault="00D553AF" w:rsidP="00C36146">
      <w:pPr>
        <w:spacing w:after="0"/>
        <w:rPr>
          <w:rFonts w:cstheme="minorHAnsi"/>
          <w:b/>
        </w:rPr>
      </w:pPr>
    </w:p>
    <w:p w:rsidR="00C36146" w:rsidRPr="004D39A3" w:rsidRDefault="00C36146" w:rsidP="00C3614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Table 2</w:t>
      </w:r>
      <w:r w:rsidRPr="004D39A3">
        <w:rPr>
          <w:rFonts w:cstheme="minorHAnsi"/>
          <w:b/>
        </w:rPr>
        <w:t xml:space="preserve">. </w:t>
      </w:r>
      <w:r>
        <w:rPr>
          <w:rFonts w:cstheme="minorHAnsi"/>
          <w:b/>
        </w:rPr>
        <w:t>ESSENCE query</w:t>
      </w:r>
      <w:r w:rsidRPr="004D39A3">
        <w:rPr>
          <w:rFonts w:cstheme="minorHAnsi"/>
          <w:b/>
        </w:rPr>
        <w:t xml:space="preserve"> for suspected </w:t>
      </w:r>
      <w:r w:rsidR="00B4751B">
        <w:rPr>
          <w:rFonts w:cstheme="minorHAnsi"/>
          <w:b/>
        </w:rPr>
        <w:t>heroin</w:t>
      </w:r>
      <w:bookmarkStart w:id="0" w:name="_GoBack"/>
      <w:bookmarkEnd w:id="0"/>
      <w:r w:rsidRPr="004D39A3">
        <w:rPr>
          <w:rFonts w:cstheme="minorHAnsi"/>
          <w:b/>
        </w:rPr>
        <w:t xml:space="preserve"> overdose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36146" w:rsidRPr="00D553AF" w:rsidTr="00914FBD">
        <w:tc>
          <w:tcPr>
            <w:tcW w:w="10070" w:type="dxa"/>
            <w:shd w:val="clear" w:color="auto" w:fill="auto"/>
          </w:tcPr>
          <w:p w:rsidR="00C36146" w:rsidRPr="0051164A" w:rsidRDefault="0051164A" w:rsidP="0051164A">
            <w:pPr>
              <w:rPr>
                <w:rFonts w:cstheme="minorHAnsi"/>
                <w:sz w:val="20"/>
                <w:szCs w:val="20"/>
              </w:rPr>
            </w:pPr>
            <w:r w:rsidRPr="0051164A">
              <w:rPr>
                <w:color w:val="000000"/>
                <w:sz w:val="20"/>
                <w:szCs w:val="20"/>
              </w:rPr>
              <w:t>(,^[;/ ]T40.1X1A^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,OR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,^[;/ ]T401X1A^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,OR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,^[;/ ]T40.1X4A^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,OR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,^[;/ ]T401X4A^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,OR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,^[;/ ]965.01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;^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,OR,^[;/ ]96501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;^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,OR,^[;/ ]965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.[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0][1],OR,^[;/ ]965[0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][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1],OR,^[;/ ]E850.0^</w:t>
            </w:r>
            <w:proofErr w:type="gramStart"/>
            <w:r w:rsidRPr="0051164A">
              <w:rPr>
                <w:color w:val="000000"/>
                <w:sz w:val="20"/>
                <w:szCs w:val="20"/>
              </w:rPr>
              <w:t>,OR</w:t>
            </w:r>
            <w:proofErr w:type="gramEnd"/>
            <w:r w:rsidRPr="0051164A">
              <w:rPr>
                <w:color w:val="000000"/>
                <w:sz w:val="20"/>
                <w:szCs w:val="20"/>
              </w:rPr>
              <w:t>,^[;/ ]E8500^,or,^295174006^,or,^295175007^,or,^295176008^,),or,(,(,(,^narcan^,or,^naloxo^,or,^poison^,or,^[ao]verdo[se][se]^,or,^over dose^,or,^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overose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^,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or,^nodding^,or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,^ nod ^,or,^snort^,or,^in[gj]est^,or,^intoxic^,or,^unresponsiv^,or,^loss of consciousness^,or,^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syncop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^,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or,^shortness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of 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breath^,or,^altered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mental status^,),and,(,^her[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io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][oi]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n^,or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,^ 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hod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^,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or,^speedball^,or,^speed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ball^,or,^dope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^,),),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andnot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,(,^denies her[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io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][oi]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n^,or,^deny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her[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io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][oi]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n^,or,^denied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her[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io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][oi]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n^,or,^denying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her[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io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>][oi]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n^,or,^denies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drug^,or,^deny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drug^,or,^denied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drug^,or,^denying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1164A">
              <w:rPr>
                <w:color w:val="000000"/>
                <w:sz w:val="20"/>
                <w:szCs w:val="20"/>
              </w:rPr>
              <w:t>drug^,or,^denies</w:t>
            </w:r>
            <w:proofErr w:type="spellEnd"/>
            <w:r w:rsidRPr="0051164A">
              <w:rPr>
                <w:color w:val="000000"/>
                <w:sz w:val="20"/>
                <w:szCs w:val="20"/>
              </w:rPr>
              <w:t xml:space="preserve"> any drug^,),)</w:t>
            </w:r>
          </w:p>
        </w:tc>
      </w:tr>
    </w:tbl>
    <w:p w:rsidR="004D39A3" w:rsidRPr="004D39A3" w:rsidRDefault="004D39A3" w:rsidP="00D553AF">
      <w:pPr>
        <w:spacing w:after="0" w:line="240" w:lineRule="auto"/>
        <w:rPr>
          <w:rFonts w:cstheme="minorHAnsi"/>
        </w:rPr>
      </w:pPr>
    </w:p>
    <w:sectPr w:rsidR="004D39A3" w:rsidRPr="004D39A3" w:rsidSect="00D2690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52FA2"/>
    <w:multiLevelType w:val="hybridMultilevel"/>
    <w:tmpl w:val="73E0F102"/>
    <w:lvl w:ilvl="0" w:tplc="8F08B6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E74DE"/>
    <w:multiLevelType w:val="hybridMultilevel"/>
    <w:tmpl w:val="7DDCCFB0"/>
    <w:lvl w:ilvl="0" w:tplc="1B3C32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05C42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80B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00B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D645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92ED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B68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C8C2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6A3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FC45FDB"/>
    <w:multiLevelType w:val="multilevel"/>
    <w:tmpl w:val="3DB0D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AB28D0"/>
    <w:multiLevelType w:val="hybridMultilevel"/>
    <w:tmpl w:val="F0C205E4"/>
    <w:lvl w:ilvl="0" w:tplc="55C25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D1EA714">
      <w:start w:val="2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560C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FCF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3CB6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A8D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463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0D2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74A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9377AE"/>
    <w:multiLevelType w:val="hybridMultilevel"/>
    <w:tmpl w:val="A8B6D58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45F673D6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9BE"/>
    <w:rsid w:val="001004B1"/>
    <w:rsid w:val="001A05EC"/>
    <w:rsid w:val="0021415B"/>
    <w:rsid w:val="00273C41"/>
    <w:rsid w:val="004A5686"/>
    <w:rsid w:val="004D39A3"/>
    <w:rsid w:val="0051164A"/>
    <w:rsid w:val="005D784A"/>
    <w:rsid w:val="006274E0"/>
    <w:rsid w:val="006D0633"/>
    <w:rsid w:val="006E49CE"/>
    <w:rsid w:val="007814CC"/>
    <w:rsid w:val="007A29BE"/>
    <w:rsid w:val="00914FBD"/>
    <w:rsid w:val="009648A5"/>
    <w:rsid w:val="00AD6157"/>
    <w:rsid w:val="00B4751B"/>
    <w:rsid w:val="00B47561"/>
    <w:rsid w:val="00C36146"/>
    <w:rsid w:val="00D25663"/>
    <w:rsid w:val="00D26908"/>
    <w:rsid w:val="00D553AF"/>
    <w:rsid w:val="00DA34D3"/>
    <w:rsid w:val="00ED5DE4"/>
    <w:rsid w:val="00FC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0FE9C"/>
  <w15:chartTrackingRefBased/>
  <w15:docId w15:val="{CE1FDD09-0BD3-46F9-8F99-0036DB7A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6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25663"/>
    <w:rPr>
      <w:strike w:val="0"/>
      <w:dstrike w:val="0"/>
      <w:color w:val="0000FF"/>
      <w:u w:val="none"/>
      <w:effect w:val="none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B475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37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62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19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923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70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949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53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5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05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67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83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8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188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1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05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239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10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532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24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18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105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90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903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20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8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83616BFDCEF4E91B1E5120BDC4550" ma:contentTypeVersion="0" ma:contentTypeDescription="Create a new document." ma:contentTypeScope="" ma:versionID="df02299376cb3edcf92b4c5710add856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c3baee67982840a4bea6e8e643d90229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54F9B-F2F7-4D24-8BC0-A3C04979BEE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E6B4AEB-1479-4D20-B01B-6AADC4AD3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D2D5F9-4282-4977-8A88-6AA9E3FEC893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004a172f-e16f-4887-a47b-3990e8128e1e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28D01CE-D673-4B90-8425-002B7FA5B6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Vivolo, Alana (CDC/ONDIEH/NCIPC)</dc:creator>
  <cp:keywords/>
  <dc:description/>
  <cp:lastModifiedBy>Vivolo, Alana (CDC/ONDIEH/NCIPC)</cp:lastModifiedBy>
  <cp:revision>7</cp:revision>
  <dcterms:created xsi:type="dcterms:W3CDTF">2018-08-16T13:45:00Z</dcterms:created>
  <dcterms:modified xsi:type="dcterms:W3CDTF">2018-08-16T15:08:00Z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0x010100EBD83616BFDCEF4E91B1E5120BDC4550</vt:lpwstr>
  </property>
</Properties>
</file>